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adopt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vehicles.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Convincing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Japan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European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mitigation.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Edwards.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Pollution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Magazine.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fossil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royalty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amongst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establishes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acquire,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affordable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fossil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renewables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rapidly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intermittent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hydro.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technologies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intermittent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renewables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facilitate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technologies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fossil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Africa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incentives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Sweden.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$75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degrees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Celsius,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announced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ambitious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century.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Japan.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rebates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proportion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kilowatt-hour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kilowatt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output.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obstacles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comprehensive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burdens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economy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polluting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education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infrastructure,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Perhaps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revenues.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temporary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vulnerable,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aluminum,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reluctant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emitters,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Japan,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European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mitigation.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pledged.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dialogue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equivalent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advanced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Presumably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prematurely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pollution.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fossil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withdrawing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optimistic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emissions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pledges.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withdrawing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competitiveness.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entrenched,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households,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subsidize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pollution,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catalyze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Ian Parry: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Bruce Edwards: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principal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fiscal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Pollution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Magazine.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imf.org/fnd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Development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@IMF_podcast.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Parry CO2-Master Mix 2-mstrd (Completed  01/30/20)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31,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"https://www.rev.com/transcript-editor/Edit?token=c7UFiq-KXgl_jiZKff9OI2KcAD7Xoad6j4H4AigKJJzd7x5WOgeOjtGYvB6MsV_WlM_M62Qzw4iYr1sV9_IudjBgLbg&amp;loadFrom=DocumentHeaderDeepLink"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